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81" w:rsidRPr="00B90D4F" w:rsidRDefault="00A23281" w:rsidP="00A23281">
      <w:pPr>
        <w:rPr>
          <w:b/>
          <w:sz w:val="28"/>
          <w:szCs w:val="28"/>
        </w:rPr>
      </w:pPr>
      <w:r w:rsidRPr="00B90D4F">
        <w:rPr>
          <w:b/>
          <w:sz w:val="28"/>
          <w:szCs w:val="28"/>
        </w:rPr>
        <w:t>Digital Honors: FAQ’s for Faculty/Advisors:</w:t>
      </w:r>
    </w:p>
    <w:p w:rsidR="00A23281" w:rsidRDefault="00A23281" w:rsidP="00A23281">
      <w:r w:rsidRPr="00A61165">
        <w:t>What is a digital hono</w:t>
      </w:r>
      <w:r>
        <w:t>rs project and where is it kept</w:t>
      </w:r>
      <w:r w:rsidRPr="00A61165">
        <w:t xml:space="preserve">? </w:t>
      </w:r>
    </w:p>
    <w:p w:rsidR="00A23281" w:rsidRDefault="00A23281" w:rsidP="00A23281">
      <w:pPr>
        <w:pStyle w:val="ListParagraph"/>
        <w:numPr>
          <w:ilvl w:val="0"/>
          <w:numId w:val="1"/>
        </w:numPr>
      </w:pPr>
      <w:r>
        <w:t>This is a digital version of the student’s honors project.  It’s a</w:t>
      </w:r>
      <w:r w:rsidRPr="00A61165">
        <w:t xml:space="preserve"> part of the </w:t>
      </w:r>
      <w:r w:rsidRPr="007056CA">
        <w:t>Bowdoin Digital Commons</w:t>
      </w:r>
      <w:r w:rsidRPr="00A61165">
        <w:t>, a repository of digital collections created or curated by</w:t>
      </w:r>
      <w:r>
        <w:t xml:space="preserve"> departments of Bowdoin College.   See </w:t>
      </w:r>
      <w:hyperlink r:id="rId6" w:history="1">
        <w:r w:rsidRPr="004E4A39">
          <w:rPr>
            <w:rStyle w:val="Hyperlink"/>
          </w:rPr>
          <w:t>http://digitalcommons.bowdoin.edu/</w:t>
        </w:r>
      </w:hyperlink>
      <w:r>
        <w:t xml:space="preserve"> </w:t>
      </w:r>
    </w:p>
    <w:p w:rsidR="00A23281" w:rsidRDefault="00A23281" w:rsidP="00A23281">
      <w:r>
        <w:t xml:space="preserve">Does this replace the print thesis?  </w:t>
      </w:r>
    </w:p>
    <w:p w:rsidR="00A23281" w:rsidRDefault="00A23281" w:rsidP="00A23281">
      <w:pPr>
        <w:pStyle w:val="ListParagraph"/>
        <w:numPr>
          <w:ilvl w:val="0"/>
          <w:numId w:val="1"/>
        </w:numPr>
      </w:pPr>
      <w:r>
        <w:t>No, students still will be required to submit a print version of their thesis to the College Archives, but they’ll also create a PDF version of that thesis to upload to the Bowdoin Digital Commons.</w:t>
      </w:r>
    </w:p>
    <w:p w:rsidR="00A23281" w:rsidRDefault="00A23281" w:rsidP="00A23281">
      <w:r>
        <w:t xml:space="preserve">What if a thesis contains non-textual materials? </w:t>
      </w:r>
    </w:p>
    <w:p w:rsidR="00A23281" w:rsidRDefault="00A23281" w:rsidP="00A23281">
      <w:pPr>
        <w:pStyle w:val="ListParagraph"/>
        <w:numPr>
          <w:ilvl w:val="0"/>
          <w:numId w:val="1"/>
        </w:numPr>
      </w:pPr>
      <w:r>
        <w:t>The student will be able to attach additional files to their Digital Commons upload with the non-textual material, e.g., sound or video files.</w:t>
      </w:r>
    </w:p>
    <w:p w:rsidR="00A23281" w:rsidRDefault="00A23281" w:rsidP="00A23281">
      <w:r>
        <w:t xml:space="preserve">Does it take much time/how easy is it? </w:t>
      </w:r>
    </w:p>
    <w:p w:rsidR="00A23281" w:rsidRDefault="00A23281" w:rsidP="00A23281">
      <w:pPr>
        <w:pStyle w:val="ListParagraph"/>
        <w:numPr>
          <w:ilvl w:val="0"/>
          <w:numId w:val="1"/>
        </w:numPr>
      </w:pPr>
      <w:r>
        <w:t xml:space="preserve">The faculty participants in last year’s pilot project felt that the process was simple and didn’t take much additional time.  One important step is for faculty and students to decide together about the </w:t>
      </w:r>
      <w:r w:rsidRPr="006F294C">
        <w:rPr>
          <w:i/>
        </w:rPr>
        <w:t xml:space="preserve">Level of Access </w:t>
      </w:r>
      <w:r>
        <w:t>and possible</w:t>
      </w:r>
      <w:r w:rsidRPr="006F294C">
        <w:rPr>
          <w:i/>
        </w:rPr>
        <w:t xml:space="preserve"> </w:t>
      </w:r>
      <w:r w:rsidRPr="00A23281">
        <w:rPr>
          <w:i/>
        </w:rPr>
        <w:t xml:space="preserve">Embargo </w:t>
      </w:r>
      <w:r w:rsidRPr="006F294C">
        <w:t>period</w:t>
      </w:r>
      <w:r>
        <w:t>.</w:t>
      </w:r>
    </w:p>
    <w:p w:rsidR="00A23281" w:rsidRDefault="00A23281" w:rsidP="00A23281">
      <w:r>
        <w:t>W</w:t>
      </w:r>
      <w:r w:rsidRPr="006F294C">
        <w:t>hat do these terms mean</w:t>
      </w:r>
      <w:r w:rsidRPr="00AB6420">
        <w:t>?</w:t>
      </w:r>
      <w:r>
        <w:t xml:space="preserve"> </w:t>
      </w:r>
    </w:p>
    <w:p w:rsidR="00A23281" w:rsidRPr="00B90D4F" w:rsidRDefault="00A23281" w:rsidP="00A23281">
      <w:pPr>
        <w:pStyle w:val="ListParagraph"/>
        <w:numPr>
          <w:ilvl w:val="0"/>
          <w:numId w:val="3"/>
        </w:numPr>
      </w:pPr>
      <w:r w:rsidRPr="00B90D4F">
        <w:rPr>
          <w:i/>
        </w:rPr>
        <w:t>Level of Access</w:t>
      </w:r>
      <w:r>
        <w:t xml:space="preserve"> determines </w:t>
      </w:r>
      <w:r w:rsidRPr="00757D4A">
        <w:rPr>
          <w:i/>
        </w:rPr>
        <w:t>who</w:t>
      </w:r>
      <w:r>
        <w:t xml:space="preserve"> may access a document</w:t>
      </w:r>
      <w:r w:rsidR="007C03F1">
        <w:t>.</w:t>
      </w:r>
    </w:p>
    <w:p w:rsidR="00A23281" w:rsidRDefault="00A23281" w:rsidP="00A23281">
      <w:pPr>
        <w:pStyle w:val="ListParagraph"/>
        <w:numPr>
          <w:ilvl w:val="0"/>
          <w:numId w:val="3"/>
        </w:numPr>
      </w:pPr>
      <w:r w:rsidRPr="00B90D4F">
        <w:rPr>
          <w:i/>
        </w:rPr>
        <w:t>Embargo</w:t>
      </w:r>
      <w:r>
        <w:t xml:space="preserve"> determines </w:t>
      </w:r>
      <w:r w:rsidRPr="00757D4A">
        <w:rPr>
          <w:i/>
        </w:rPr>
        <w:t>when</w:t>
      </w:r>
      <w:r>
        <w:t xml:space="preserve"> a document can be accessed</w:t>
      </w:r>
      <w:r w:rsidR="007C03F1">
        <w:t>.</w:t>
      </w:r>
    </w:p>
    <w:p w:rsidR="00A23281" w:rsidRDefault="00A23281" w:rsidP="00A23281">
      <w:r>
        <w:t>How do we determine the appropriate level of access?</w:t>
      </w:r>
    </w:p>
    <w:p w:rsidR="00A23281" w:rsidRPr="0022768E" w:rsidRDefault="00A23281" w:rsidP="00A23281">
      <w:pPr>
        <w:pStyle w:val="ListParagraph"/>
        <w:numPr>
          <w:ilvl w:val="0"/>
          <w:numId w:val="1"/>
        </w:numPr>
      </w:pPr>
      <w:r w:rsidRPr="0022768E">
        <w:rPr>
          <w:rFonts w:ascii="Times New Roman" w:hAnsi="Times New Roman" w:cs="Times New Roman"/>
        </w:rPr>
        <w:t>If the final version of the thesis complies with fair use in accordance with U.S. copyright law, the studen</w:t>
      </w:r>
      <w:r>
        <w:rPr>
          <w:rFonts w:ascii="Times New Roman" w:hAnsi="Times New Roman" w:cs="Times New Roman"/>
        </w:rPr>
        <w:t xml:space="preserve">t and advisor(s) should select </w:t>
      </w:r>
      <w:r w:rsidRPr="0022768E">
        <w:rPr>
          <w:rFonts w:ascii="Times New Roman" w:hAnsi="Times New Roman" w:cs="Times New Roman"/>
          <w:i/>
        </w:rPr>
        <w:t>Open Acces</w:t>
      </w:r>
      <w:r>
        <w:rPr>
          <w:rFonts w:ascii="Times New Roman" w:hAnsi="Times New Roman" w:cs="Times New Roman"/>
          <w:i/>
        </w:rPr>
        <w:t>s</w:t>
      </w:r>
      <w:r w:rsidRPr="006F294C">
        <w:rPr>
          <w:rFonts w:ascii="Times New Roman" w:hAnsi="Times New Roman" w:cs="Times New Roman"/>
        </w:rPr>
        <w:t xml:space="preserve">.  </w:t>
      </w:r>
      <w:r>
        <w:rPr>
          <w:rFonts w:ascii="Times New Roman" w:hAnsi="Times New Roman" w:cs="Times New Roman"/>
        </w:rPr>
        <w:t xml:space="preserve">This allows </w:t>
      </w:r>
      <w:r>
        <w:t xml:space="preserve">unrestricted access via the </w:t>
      </w:r>
      <w:r w:rsidRPr="006F294C">
        <w:t>Internet</w:t>
      </w:r>
      <w:r>
        <w:t>; content will be searchable via Google and other search engines.</w:t>
      </w:r>
    </w:p>
    <w:p w:rsidR="00A23281" w:rsidRDefault="00A23281" w:rsidP="00A23281">
      <w:pPr>
        <w:pStyle w:val="ListParagraph"/>
        <w:numPr>
          <w:ilvl w:val="0"/>
          <w:numId w:val="1"/>
        </w:numPr>
      </w:pPr>
      <w:r w:rsidRPr="00F26FB1">
        <w:rPr>
          <w:rFonts w:ascii="Times New Roman" w:hAnsi="Times New Roman" w:cs="Times New Roman"/>
        </w:rPr>
        <w:t>If the thesis includes copyrighted materials that fall outside fair use provisions of U.S. copyright law, the student and advisor(s) must selec</w:t>
      </w:r>
      <w:r>
        <w:rPr>
          <w:rFonts w:ascii="Times New Roman" w:hAnsi="Times New Roman" w:cs="Times New Roman"/>
        </w:rPr>
        <w:t xml:space="preserve">t </w:t>
      </w:r>
      <w:r w:rsidRPr="0022768E">
        <w:rPr>
          <w:rFonts w:ascii="Times New Roman" w:hAnsi="Times New Roman" w:cs="Times New Roman"/>
          <w:i/>
        </w:rPr>
        <w:t>Restricted Access</w:t>
      </w:r>
      <w:r>
        <w:rPr>
          <w:rFonts w:ascii="Times New Roman" w:hAnsi="Times New Roman" w:cs="Times New Roman"/>
        </w:rPr>
        <w:t>; this will limit access to users on th</w:t>
      </w:r>
      <w:r w:rsidRPr="00F26FB1">
        <w:rPr>
          <w:rFonts w:ascii="Times New Roman" w:hAnsi="Times New Roman" w:cs="Times New Roman"/>
        </w:rPr>
        <w:t>e Bowdoin campus</w:t>
      </w:r>
      <w:r>
        <w:rPr>
          <w:rFonts w:ascii="Times New Roman" w:hAnsi="Times New Roman" w:cs="Times New Roman"/>
        </w:rPr>
        <w:t>.</w:t>
      </w:r>
    </w:p>
    <w:p w:rsidR="00A23281" w:rsidRDefault="00A23281" w:rsidP="00A23281">
      <w:r>
        <w:t>How do we determine if an embargo is necessary?</w:t>
      </w:r>
    </w:p>
    <w:p w:rsidR="00A23281" w:rsidRDefault="00A23281" w:rsidP="00A23281">
      <w:pPr>
        <w:pStyle w:val="ListParagraph"/>
        <w:numPr>
          <w:ilvl w:val="0"/>
          <w:numId w:val="2"/>
        </w:numPr>
        <w:rPr>
          <w:rFonts w:ascii="Times New Roman" w:hAnsi="Times New Roman" w:cs="Times New Roman"/>
        </w:rPr>
      </w:pPr>
      <w:r>
        <w:rPr>
          <w:rFonts w:ascii="Times New Roman" w:hAnsi="Times New Roman" w:cs="Times New Roman"/>
        </w:rPr>
        <w:t xml:space="preserve">An embargo </w:t>
      </w:r>
      <w:r w:rsidRPr="00F26FB1">
        <w:rPr>
          <w:rFonts w:ascii="Times New Roman" w:hAnsi="Times New Roman" w:cs="Times New Roman"/>
        </w:rPr>
        <w:t>prevents all online access to the thesis for a certain period of time</w:t>
      </w:r>
      <w:r>
        <w:rPr>
          <w:rFonts w:ascii="Times New Roman" w:hAnsi="Times New Roman" w:cs="Times New Roman"/>
        </w:rPr>
        <w:t>; this might be chosen if,</w:t>
      </w:r>
      <w:r w:rsidRPr="00F26FB1">
        <w:rPr>
          <w:rFonts w:ascii="Times New Roman" w:hAnsi="Times New Roman" w:cs="Times New Roman"/>
        </w:rPr>
        <w:t xml:space="preserve"> for example, </w:t>
      </w:r>
      <w:r>
        <w:rPr>
          <w:rFonts w:ascii="Times New Roman" w:hAnsi="Times New Roman" w:cs="Times New Roman"/>
        </w:rPr>
        <w:t>the student and advisor</w:t>
      </w:r>
      <w:r w:rsidRPr="00F26FB1">
        <w:rPr>
          <w:rFonts w:ascii="Times New Roman" w:hAnsi="Times New Roman" w:cs="Times New Roman"/>
        </w:rPr>
        <w:t xml:space="preserve"> are planning to publish the findings elsewhere. Periods of embargo may be 1, 3, or 5 years, after which the thesis will be available for viewing online</w:t>
      </w:r>
      <w:r>
        <w:rPr>
          <w:rFonts w:ascii="Times New Roman" w:hAnsi="Times New Roman" w:cs="Times New Roman"/>
        </w:rPr>
        <w:t>.</w:t>
      </w:r>
      <w:r w:rsidRPr="00F26FB1">
        <w:rPr>
          <w:rFonts w:ascii="Times New Roman" w:hAnsi="Times New Roman" w:cs="Times New Roman"/>
        </w:rPr>
        <w:t xml:space="preserve"> </w:t>
      </w:r>
    </w:p>
    <w:p w:rsidR="00A23281" w:rsidRDefault="00A23281" w:rsidP="00A23281">
      <w:pPr>
        <w:pStyle w:val="ListParagraph"/>
        <w:rPr>
          <w:rFonts w:ascii="Times New Roman" w:hAnsi="Times New Roman" w:cs="Times New Roman"/>
        </w:rPr>
      </w:pPr>
    </w:p>
    <w:p w:rsidR="007E55D9" w:rsidRPr="00A23281" w:rsidRDefault="00A23281" w:rsidP="00A23281">
      <w:pPr>
        <w:pStyle w:val="Default"/>
        <w:jc w:val="center"/>
        <w:rPr>
          <w:rFonts w:ascii="Times New Roman" w:hAnsi="Times New Roman" w:cs="Times New Roman"/>
          <w:b/>
          <w:i/>
        </w:rPr>
      </w:pPr>
      <w:r w:rsidRPr="001A03BE">
        <w:rPr>
          <w:rFonts w:ascii="Times New Roman" w:hAnsi="Times New Roman" w:cs="Times New Roman"/>
          <w:b/>
          <w:i/>
        </w:rPr>
        <w:t xml:space="preserve">The faculty advisor(s) will have the final say on access and embargo </w:t>
      </w:r>
      <w:r>
        <w:rPr>
          <w:rFonts w:ascii="Times New Roman" w:hAnsi="Times New Roman" w:cs="Times New Roman"/>
          <w:b/>
          <w:i/>
        </w:rPr>
        <w:t>of digital honors project</w:t>
      </w:r>
      <w:r w:rsidRPr="001A03BE">
        <w:rPr>
          <w:rFonts w:ascii="Times New Roman" w:hAnsi="Times New Roman" w:cs="Times New Roman"/>
          <w:b/>
          <w:i/>
        </w:rPr>
        <w:t>s.</w:t>
      </w:r>
    </w:p>
    <w:sectPr w:rsidR="007E55D9" w:rsidRPr="00A23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31499"/>
    <w:multiLevelType w:val="hybridMultilevel"/>
    <w:tmpl w:val="8BC81F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0526E"/>
    <w:multiLevelType w:val="hybridMultilevel"/>
    <w:tmpl w:val="1A34847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63562"/>
    <w:multiLevelType w:val="hybridMultilevel"/>
    <w:tmpl w:val="69C07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81"/>
    <w:rsid w:val="001908ED"/>
    <w:rsid w:val="007C03F1"/>
    <w:rsid w:val="00A23281"/>
    <w:rsid w:val="00CD29E3"/>
    <w:rsid w:val="00DD4F17"/>
    <w:rsid w:val="00EE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281"/>
    <w:pPr>
      <w:ind w:left="720"/>
      <w:contextualSpacing/>
    </w:pPr>
  </w:style>
  <w:style w:type="character" w:styleId="Hyperlink">
    <w:name w:val="Hyperlink"/>
    <w:basedOn w:val="DefaultParagraphFont"/>
    <w:uiPriority w:val="99"/>
    <w:unhideWhenUsed/>
    <w:rsid w:val="00A23281"/>
    <w:rPr>
      <w:color w:val="0000FF"/>
      <w:u w:val="single"/>
    </w:rPr>
  </w:style>
  <w:style w:type="paragraph" w:customStyle="1" w:styleId="Default">
    <w:name w:val="Default"/>
    <w:rsid w:val="00A23281"/>
    <w:pPr>
      <w:autoSpaceDE w:val="0"/>
      <w:autoSpaceDN w:val="0"/>
      <w:adjustRightInd w:val="0"/>
      <w:spacing w:after="0" w:line="240" w:lineRule="auto"/>
    </w:pPr>
    <w:rPr>
      <w:rFonts w:ascii="Myriad Pro" w:hAnsi="Myriad Pro" w:cs="Myriad Pro"/>
      <w:color w:val="000000"/>
      <w:sz w:val="24"/>
      <w:szCs w:val="24"/>
    </w:rPr>
  </w:style>
  <w:style w:type="paragraph" w:styleId="BalloonText">
    <w:name w:val="Balloon Text"/>
    <w:basedOn w:val="Normal"/>
    <w:link w:val="BalloonTextChar"/>
    <w:uiPriority w:val="99"/>
    <w:semiHidden/>
    <w:unhideWhenUsed/>
    <w:rsid w:val="00A2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28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281"/>
    <w:pPr>
      <w:ind w:left="720"/>
      <w:contextualSpacing/>
    </w:pPr>
  </w:style>
  <w:style w:type="character" w:styleId="Hyperlink">
    <w:name w:val="Hyperlink"/>
    <w:basedOn w:val="DefaultParagraphFont"/>
    <w:uiPriority w:val="99"/>
    <w:unhideWhenUsed/>
    <w:rsid w:val="00A23281"/>
    <w:rPr>
      <w:color w:val="0000FF"/>
      <w:u w:val="single"/>
    </w:rPr>
  </w:style>
  <w:style w:type="paragraph" w:customStyle="1" w:styleId="Default">
    <w:name w:val="Default"/>
    <w:rsid w:val="00A23281"/>
    <w:pPr>
      <w:autoSpaceDE w:val="0"/>
      <w:autoSpaceDN w:val="0"/>
      <w:adjustRightInd w:val="0"/>
      <w:spacing w:after="0" w:line="240" w:lineRule="auto"/>
    </w:pPr>
    <w:rPr>
      <w:rFonts w:ascii="Myriad Pro" w:hAnsi="Myriad Pro" w:cs="Myriad Pro"/>
      <w:color w:val="000000"/>
      <w:sz w:val="24"/>
      <w:szCs w:val="24"/>
    </w:rPr>
  </w:style>
  <w:style w:type="paragraph" w:styleId="BalloonText">
    <w:name w:val="Balloon Text"/>
    <w:basedOn w:val="Normal"/>
    <w:link w:val="BalloonTextChar"/>
    <w:uiPriority w:val="99"/>
    <w:semiHidden/>
    <w:unhideWhenUsed/>
    <w:rsid w:val="00A2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28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commons.bowdoi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Bowdoin College</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Pander</dc:creator>
  <cp:lastModifiedBy>jmontgom</cp:lastModifiedBy>
  <cp:revision>2</cp:revision>
  <dcterms:created xsi:type="dcterms:W3CDTF">2014-02-12T20:12:00Z</dcterms:created>
  <dcterms:modified xsi:type="dcterms:W3CDTF">2014-02-12T20:12:00Z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116081429</vt:i4>
  </property>
  <property fmtid="{D5CDD505-2E9C-101B-9397-08002B2CF9AE}" pid="3" name="_NewReviewCycle">
    <vt:lpwstr/>
  </property>
  <property fmtid="{D5CDD505-2E9C-101B-9397-08002B2CF9AE}" pid="4" name="_EmailSubject">
    <vt:lpwstr>Digital Honors FAQ's</vt:lpwstr>
  </property>
  <property fmtid="{D5CDD505-2E9C-101B-9397-08002B2CF9AE}" pid="5" name="_AuthorEmail">
    <vt:lpwstr>lpander@bowdoin.edu</vt:lpwstr>
  </property>
  <property fmtid="{D5CDD505-2E9C-101B-9397-08002B2CF9AE}" pid="6" name="_AuthorEmailDisplayName">
    <vt:lpwstr>Leanne Pander</vt:lpwstr>
  </property>
  <property fmtid="{D5CDD505-2E9C-101B-9397-08002B2CF9AE}" pid="7" name="_ReviewingToolsShownOnce">
    <vt:lpwstr/>
  </property>
</Properties>
</file>